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19C" w:rsidRPr="00AF0F6E" w:rsidRDefault="0008619C" w:rsidP="0008619C">
      <w:pPr>
        <w:ind w:left="1843" w:right="1983"/>
        <w:jc w:val="both"/>
        <w:rPr>
          <w:rFonts w:ascii="Tahoma" w:hAnsi="Tahoma" w:cs="Tahoma"/>
          <w:i/>
          <w:sz w:val="22"/>
          <w:szCs w:val="22"/>
        </w:rPr>
      </w:pPr>
      <w:r w:rsidRPr="00AF0F6E">
        <w:rPr>
          <w:rFonts w:ascii="Tahoma" w:hAnsi="Tahoma" w:cs="Tahoma"/>
          <w:b/>
          <w:i/>
          <w:sz w:val="22"/>
          <w:szCs w:val="22"/>
        </w:rPr>
        <w:t>Sumilla   :</w:t>
      </w:r>
      <w:r w:rsidRPr="00AF0F6E">
        <w:rPr>
          <w:rFonts w:ascii="Tahoma" w:hAnsi="Tahoma" w:cs="Tahoma"/>
          <w:i/>
          <w:sz w:val="22"/>
          <w:szCs w:val="22"/>
        </w:rPr>
        <w:t xml:space="preserve"> </w:t>
      </w:r>
      <w:r w:rsidRPr="00AF0F6E">
        <w:rPr>
          <w:rFonts w:ascii="Tahoma" w:hAnsi="Tahoma" w:cs="Tahoma"/>
          <w:i/>
          <w:sz w:val="22"/>
          <w:szCs w:val="22"/>
        </w:rPr>
        <w:tab/>
      </w:r>
      <w:r w:rsidRPr="0008619C">
        <w:rPr>
          <w:rFonts w:ascii="Tahoma" w:hAnsi="Tahoma" w:cs="Tahoma"/>
          <w:i/>
          <w:sz w:val="22"/>
          <w:szCs w:val="22"/>
        </w:rPr>
        <w:t>“</w:t>
      </w:r>
      <w:r w:rsidRPr="0008619C">
        <w:rPr>
          <w:rFonts w:ascii="Tahoma" w:hAnsi="Tahoma" w:cs="Tahoma"/>
          <w:i/>
          <w:sz w:val="22"/>
          <w:szCs w:val="22"/>
          <w:lang w:val="es-MX"/>
        </w:rPr>
        <w:t xml:space="preserve">La sanción administrativa de inhabilitación definitiva supone la privación permanente en los derechos del infractor </w:t>
      </w:r>
      <w:r w:rsidRPr="0008619C">
        <w:rPr>
          <w:rFonts w:ascii="Tahoma" w:hAnsi="Tahoma" w:cs="Tahoma"/>
          <w:i/>
          <w:sz w:val="22"/>
          <w:szCs w:val="22"/>
        </w:rPr>
        <w:t>para participar en procesos de selección y contratar con el Estado,</w:t>
      </w:r>
      <w:r w:rsidRPr="0008619C">
        <w:rPr>
          <w:rFonts w:ascii="Tahoma" w:hAnsi="Tahoma" w:cs="Tahoma"/>
          <w:i/>
          <w:sz w:val="22"/>
          <w:szCs w:val="22"/>
          <w:lang w:val="es-MX"/>
        </w:rPr>
        <w:t xml:space="preserve"> por lo tanto, carece de sentido, en caso llegue a determinarse una nueva responsabilidad, imponer al Denunciado una sanción adicional de la misma naturaleza</w:t>
      </w:r>
      <w:r w:rsidRPr="0008619C">
        <w:rPr>
          <w:rFonts w:ascii="Tahoma" w:hAnsi="Tahoma" w:cs="Tahoma"/>
          <w:i/>
          <w:sz w:val="22"/>
          <w:szCs w:val="22"/>
        </w:rPr>
        <w:t>”</w:t>
      </w:r>
    </w:p>
    <w:p w:rsidR="0008619C" w:rsidRPr="00AF0F6E" w:rsidRDefault="0008619C" w:rsidP="0008619C">
      <w:pPr>
        <w:pStyle w:val="Textoindependiente3"/>
        <w:spacing w:after="0"/>
        <w:rPr>
          <w:rFonts w:ascii="Tahoma" w:hAnsi="Tahoma" w:cs="Tahoma"/>
          <w:i/>
          <w:sz w:val="22"/>
          <w:szCs w:val="22"/>
          <w:lang w:val="es-ES"/>
        </w:rPr>
      </w:pPr>
    </w:p>
    <w:p w:rsidR="0008619C" w:rsidRPr="00AF0F6E" w:rsidRDefault="0008619C" w:rsidP="0008619C">
      <w:pPr>
        <w:pStyle w:val="Textoindependiente3"/>
        <w:spacing w:after="0"/>
        <w:ind w:left="5387"/>
        <w:jc w:val="both"/>
        <w:rPr>
          <w:rFonts w:ascii="Tahoma" w:hAnsi="Tahoma" w:cs="Tahoma"/>
          <w:b/>
          <w:sz w:val="22"/>
          <w:szCs w:val="22"/>
        </w:rPr>
      </w:pPr>
      <w:r w:rsidRPr="00AF0F6E">
        <w:rPr>
          <w:rFonts w:ascii="Tahoma" w:hAnsi="Tahoma" w:cs="Tahoma"/>
          <w:b/>
          <w:sz w:val="22"/>
          <w:szCs w:val="22"/>
        </w:rPr>
        <w:t>Lima,</w:t>
      </w:r>
      <w:r w:rsidR="00AF7C40">
        <w:rPr>
          <w:rFonts w:ascii="Tahoma" w:hAnsi="Tahoma" w:cs="Tahoma"/>
          <w:b/>
          <w:sz w:val="22"/>
          <w:szCs w:val="22"/>
        </w:rPr>
        <w:t xml:space="preserve"> 29 de Abril de 2011</w:t>
      </w:r>
    </w:p>
    <w:p w:rsidR="0008619C" w:rsidRPr="00AF0F6E" w:rsidRDefault="0008619C" w:rsidP="0008619C">
      <w:pPr>
        <w:pStyle w:val="Textoindependiente3"/>
        <w:spacing w:after="0"/>
        <w:ind w:left="5387"/>
        <w:jc w:val="both"/>
        <w:rPr>
          <w:rFonts w:ascii="Tahoma" w:hAnsi="Tahoma" w:cs="Tahoma"/>
          <w:b/>
          <w:sz w:val="22"/>
          <w:szCs w:val="22"/>
        </w:rPr>
      </w:pPr>
    </w:p>
    <w:p w:rsidR="0008619C" w:rsidRPr="00AF0F6E" w:rsidRDefault="0008619C" w:rsidP="0008619C">
      <w:pPr>
        <w:ind w:firstLine="567"/>
        <w:contextualSpacing/>
        <w:jc w:val="both"/>
        <w:rPr>
          <w:rFonts w:ascii="Tahoma" w:hAnsi="Tahoma" w:cs="Tahoma"/>
          <w:i/>
          <w:sz w:val="22"/>
          <w:szCs w:val="22"/>
        </w:rPr>
      </w:pPr>
      <w:r w:rsidRPr="00AF0F6E">
        <w:rPr>
          <w:rFonts w:ascii="Tahoma" w:hAnsi="Tahoma" w:cs="Tahoma"/>
          <w:b/>
          <w:sz w:val="22"/>
          <w:szCs w:val="22"/>
        </w:rPr>
        <w:t xml:space="preserve">Visto </w:t>
      </w:r>
      <w:r>
        <w:rPr>
          <w:rFonts w:ascii="Tahoma" w:hAnsi="Tahoma" w:cs="Tahoma"/>
          <w:sz w:val="22"/>
          <w:szCs w:val="22"/>
        </w:rPr>
        <w:t>en sesión de fecha 29</w:t>
      </w:r>
      <w:r w:rsidRPr="00AF0F6E">
        <w:rPr>
          <w:rFonts w:ascii="Tahoma" w:hAnsi="Tahoma" w:cs="Tahoma"/>
          <w:sz w:val="22"/>
          <w:szCs w:val="22"/>
        </w:rPr>
        <w:t xml:space="preserve"> de abril del 2011 la Primera Sala del Tribunal de Contrataciones </w:t>
      </w:r>
      <w:r>
        <w:rPr>
          <w:rFonts w:ascii="Tahoma" w:hAnsi="Tahoma" w:cs="Tahoma"/>
          <w:sz w:val="22"/>
          <w:szCs w:val="22"/>
        </w:rPr>
        <w:t>del Estado el Expediente N° 1197.2010</w:t>
      </w:r>
      <w:r w:rsidRPr="00AF0F6E">
        <w:rPr>
          <w:rFonts w:ascii="Tahoma" w:hAnsi="Tahoma" w:cs="Tahoma"/>
          <w:sz w:val="22"/>
          <w:szCs w:val="22"/>
        </w:rPr>
        <w:t>-TC; sobre el procedimiento administrativo sancionador iniciado contra</w:t>
      </w:r>
      <w:r>
        <w:rPr>
          <w:rFonts w:ascii="Tahoma" w:hAnsi="Tahoma" w:cs="Tahoma"/>
          <w:sz w:val="22"/>
          <w:szCs w:val="22"/>
        </w:rPr>
        <w:t xml:space="preserve"> </w:t>
      </w:r>
      <w:r w:rsidRPr="00D20520">
        <w:rPr>
          <w:rFonts w:ascii="Tahoma" w:hAnsi="Tahoma" w:cs="Tahoma"/>
          <w:sz w:val="22"/>
          <w:szCs w:val="22"/>
        </w:rPr>
        <w:t>el Sr. Edwin Nixon Córdova Pérez</w:t>
      </w:r>
      <w:r w:rsidRPr="00AF0F6E">
        <w:rPr>
          <w:rFonts w:ascii="Tahoma" w:hAnsi="Tahoma" w:cs="Tahoma"/>
          <w:sz w:val="22"/>
          <w:szCs w:val="22"/>
        </w:rPr>
        <w:t xml:space="preserve">, </w:t>
      </w:r>
      <w:r w:rsidRPr="00AF0F6E">
        <w:rPr>
          <w:rFonts w:ascii="Tahoma" w:hAnsi="Tahoma" w:cs="Tahoma"/>
          <w:sz w:val="22"/>
          <w:szCs w:val="22"/>
          <w:lang w:val="es-PE"/>
        </w:rPr>
        <w:t xml:space="preserve">por supuesta responsabilidad al </w:t>
      </w:r>
      <w:r>
        <w:rPr>
          <w:rFonts w:ascii="Tahoma" w:hAnsi="Tahoma" w:cs="Tahoma"/>
          <w:sz w:val="22"/>
          <w:szCs w:val="22"/>
          <w:lang w:val="es-PE"/>
        </w:rPr>
        <w:t>haber</w:t>
      </w:r>
      <w:r w:rsidRPr="00542AFA">
        <w:rPr>
          <w:rFonts w:ascii="Tahoma" w:hAnsi="Tahoma" w:cs="Tahoma"/>
          <w:color w:val="000000" w:themeColor="text1"/>
          <w:sz w:val="22"/>
          <w:szCs w:val="22"/>
        </w:rPr>
        <w:t xml:space="preserve"> dado lugar a la resolución </w:t>
      </w:r>
      <w:r>
        <w:rPr>
          <w:rFonts w:ascii="Tahoma" w:hAnsi="Tahoma" w:cs="Tahoma"/>
          <w:sz w:val="22"/>
          <w:szCs w:val="22"/>
          <w:lang w:val="es-ES_tradnl"/>
        </w:rPr>
        <w:t>de</w:t>
      </w:r>
      <w:r>
        <w:rPr>
          <w:rFonts w:ascii="Tahoma" w:hAnsi="Tahoma" w:cs="Tahoma"/>
          <w:sz w:val="22"/>
          <w:szCs w:val="22"/>
        </w:rPr>
        <w:t>l Contrato Nº 51-2009-ADS-MP-FN-GG-GECLOG</w:t>
      </w:r>
      <w:r w:rsidRPr="00542AFA">
        <w:rPr>
          <w:rFonts w:ascii="Tahoma" w:hAnsi="Tahoma" w:cs="Tahoma"/>
          <w:sz w:val="22"/>
          <w:szCs w:val="22"/>
          <w:lang w:val="es-ES_tradnl"/>
        </w:rPr>
        <w:t xml:space="preserve">, el cual fue materia de la </w:t>
      </w:r>
      <w:r w:rsidRPr="00D20520">
        <w:rPr>
          <w:rFonts w:ascii="Tahoma" w:hAnsi="Tahoma" w:cs="Tahoma"/>
          <w:sz w:val="22"/>
          <w:szCs w:val="22"/>
        </w:rPr>
        <w:t>Adjudicación Directa Selectiva Nº 0108-2008-MP-FN-GECLOG-CEP/B-“B”</w:t>
      </w:r>
      <w:r>
        <w:rPr>
          <w:rFonts w:ascii="Tahoma" w:hAnsi="Tahoma" w:cs="Tahoma"/>
          <w:sz w:val="22"/>
          <w:szCs w:val="22"/>
          <w:lang w:val="es-PE"/>
        </w:rPr>
        <w:t>.</w:t>
      </w:r>
    </w:p>
    <w:p w:rsidR="0008619C" w:rsidRPr="00AF0F6E" w:rsidRDefault="0008619C" w:rsidP="0008619C">
      <w:pPr>
        <w:ind w:firstLine="567"/>
        <w:contextualSpacing/>
        <w:jc w:val="both"/>
        <w:rPr>
          <w:rFonts w:ascii="Tahoma" w:hAnsi="Tahoma" w:cs="Tahoma"/>
          <w:b/>
          <w:sz w:val="22"/>
          <w:szCs w:val="22"/>
          <w:lang w:val="es-ES_tradnl"/>
        </w:rPr>
      </w:pPr>
    </w:p>
    <w:p w:rsidR="0008619C" w:rsidRPr="00AF0F6E" w:rsidRDefault="0008619C" w:rsidP="0008619C">
      <w:pPr>
        <w:pStyle w:val="Prrafodelista"/>
        <w:numPr>
          <w:ilvl w:val="0"/>
          <w:numId w:val="1"/>
        </w:numPr>
        <w:ind w:left="567" w:hanging="425"/>
        <w:rPr>
          <w:rFonts w:ascii="Tahoma" w:hAnsi="Tahoma" w:cs="Tahoma"/>
          <w:b/>
          <w:sz w:val="22"/>
          <w:szCs w:val="22"/>
        </w:rPr>
      </w:pPr>
      <w:r w:rsidRPr="00AF0F6E">
        <w:rPr>
          <w:rFonts w:ascii="Tahoma" w:hAnsi="Tahoma" w:cs="Tahoma"/>
          <w:b/>
          <w:sz w:val="22"/>
          <w:szCs w:val="22"/>
        </w:rPr>
        <w:t>ANTECEDENTES:</w:t>
      </w:r>
    </w:p>
    <w:p w:rsidR="0008619C" w:rsidRPr="00AF0F6E" w:rsidRDefault="0008619C" w:rsidP="0008619C">
      <w:pPr>
        <w:jc w:val="both"/>
        <w:rPr>
          <w:rFonts w:ascii="Tahoma" w:hAnsi="Tahoma" w:cs="Tahoma"/>
          <w:b/>
          <w:sz w:val="22"/>
          <w:szCs w:val="22"/>
          <w:lang w:eastAsia="es-PE"/>
        </w:rPr>
      </w:pPr>
    </w:p>
    <w:p w:rsidR="0008619C" w:rsidRPr="00D20520" w:rsidRDefault="0008619C" w:rsidP="0008619C">
      <w:pPr>
        <w:pStyle w:val="Prrafodelista"/>
        <w:widowControl/>
        <w:numPr>
          <w:ilvl w:val="0"/>
          <w:numId w:val="6"/>
        </w:numPr>
        <w:tabs>
          <w:tab w:val="clear" w:pos="454"/>
          <w:tab w:val="num" w:pos="596"/>
        </w:tabs>
        <w:suppressAutoHyphens w:val="0"/>
        <w:ind w:left="596"/>
        <w:jc w:val="both"/>
        <w:rPr>
          <w:rFonts w:ascii="Tahoma" w:hAnsi="Tahoma" w:cs="Tahoma"/>
          <w:sz w:val="22"/>
          <w:szCs w:val="22"/>
        </w:rPr>
      </w:pPr>
      <w:r w:rsidRPr="00D20520">
        <w:rPr>
          <w:rFonts w:ascii="Tahoma" w:hAnsi="Tahoma" w:cs="Tahoma"/>
          <w:sz w:val="22"/>
          <w:szCs w:val="22"/>
        </w:rPr>
        <w:t>Mediante publicación en el Sistema Electrónico de Adquisiciones y Contrataciones del Estado (SEACE) realizada el 30 de diciembre de 2008, El Ministerio Público, en adelante la Entidad, convocó a la Adjudicación Directa Selectiva Nº 0108-2008-MP-FN-GECLOG-CEP/B-“B”, según relación de ítems, para la adquisición de estantería de ángulos ranurados, bajo el sistema de precios unitarios y por un valor referencial ascendente a S/. 90,500.00.</w:t>
      </w:r>
    </w:p>
    <w:p w:rsidR="0008619C" w:rsidRPr="00D20520" w:rsidRDefault="0008619C" w:rsidP="0008619C">
      <w:pPr>
        <w:pStyle w:val="Prrafodelista"/>
        <w:rPr>
          <w:rFonts w:ascii="Tahoma" w:hAnsi="Tahoma" w:cs="Tahoma"/>
          <w:sz w:val="22"/>
          <w:szCs w:val="22"/>
        </w:rPr>
      </w:pPr>
    </w:p>
    <w:p w:rsidR="0008619C" w:rsidRPr="00D20520" w:rsidRDefault="0008619C" w:rsidP="0008619C">
      <w:pPr>
        <w:pStyle w:val="Prrafodelista"/>
        <w:widowControl/>
        <w:numPr>
          <w:ilvl w:val="0"/>
          <w:numId w:val="6"/>
        </w:numPr>
        <w:tabs>
          <w:tab w:val="clear" w:pos="454"/>
          <w:tab w:val="num" w:pos="596"/>
        </w:tabs>
        <w:suppressAutoHyphens w:val="0"/>
        <w:ind w:left="596"/>
        <w:jc w:val="both"/>
        <w:rPr>
          <w:rFonts w:ascii="Tahoma" w:hAnsi="Tahoma" w:cs="Tahoma"/>
          <w:sz w:val="22"/>
          <w:szCs w:val="22"/>
        </w:rPr>
      </w:pPr>
      <w:r w:rsidRPr="00D20520">
        <w:rPr>
          <w:rFonts w:ascii="Tahoma" w:hAnsi="Tahoma" w:cs="Tahoma"/>
          <w:sz w:val="22"/>
          <w:szCs w:val="22"/>
        </w:rPr>
        <w:t>Con fecha 15 de enero de 2009, se llevó a cabo el acto privado de presentación de propuestas técnicas y económicas.</w:t>
      </w:r>
    </w:p>
    <w:p w:rsidR="0008619C" w:rsidRPr="00D20520" w:rsidRDefault="0008619C" w:rsidP="0008619C">
      <w:pPr>
        <w:pStyle w:val="Prrafodelista"/>
        <w:rPr>
          <w:rFonts w:ascii="Tahoma" w:hAnsi="Tahoma" w:cs="Tahoma"/>
          <w:sz w:val="22"/>
          <w:szCs w:val="22"/>
        </w:rPr>
      </w:pPr>
    </w:p>
    <w:p w:rsidR="0008619C" w:rsidRPr="00D20520" w:rsidRDefault="0008619C" w:rsidP="0008619C">
      <w:pPr>
        <w:pStyle w:val="Prrafodelista"/>
        <w:widowControl/>
        <w:numPr>
          <w:ilvl w:val="0"/>
          <w:numId w:val="6"/>
        </w:numPr>
        <w:tabs>
          <w:tab w:val="clear" w:pos="454"/>
          <w:tab w:val="num" w:pos="596"/>
        </w:tabs>
        <w:suppressAutoHyphens w:val="0"/>
        <w:ind w:left="596"/>
        <w:jc w:val="both"/>
        <w:rPr>
          <w:rFonts w:ascii="Tahoma" w:hAnsi="Tahoma" w:cs="Tahoma"/>
          <w:sz w:val="22"/>
          <w:szCs w:val="22"/>
        </w:rPr>
      </w:pPr>
      <w:r w:rsidRPr="00D20520">
        <w:rPr>
          <w:rFonts w:ascii="Tahoma" w:hAnsi="Tahoma" w:cs="Tahoma"/>
          <w:sz w:val="22"/>
          <w:szCs w:val="22"/>
        </w:rPr>
        <w:t>El 16 de enero de 2009, se realizó el acto privado de evaluación de propuestas y luego del análisis realizado por el Comité Especial, con fecha 19 de enero de 2009, se dispuso el otorgamiento de la Buena Pro de los ítems Nº 1, Nº 2, Nº 3 y Nº 4 a favor de la empresa PROYECTOS ESPECIALES CAT S.A.C.</w:t>
      </w:r>
    </w:p>
    <w:p w:rsidR="0008619C" w:rsidRPr="00D20520" w:rsidRDefault="0008619C" w:rsidP="0008619C">
      <w:pPr>
        <w:pStyle w:val="Prrafodelista"/>
        <w:rPr>
          <w:rFonts w:ascii="Tahoma" w:hAnsi="Tahoma" w:cs="Tahoma"/>
          <w:sz w:val="22"/>
          <w:szCs w:val="22"/>
        </w:rPr>
      </w:pPr>
    </w:p>
    <w:p w:rsidR="0008619C" w:rsidRPr="00D20520" w:rsidRDefault="0008619C" w:rsidP="0008619C">
      <w:pPr>
        <w:pStyle w:val="Prrafodelista"/>
        <w:widowControl/>
        <w:numPr>
          <w:ilvl w:val="0"/>
          <w:numId w:val="6"/>
        </w:numPr>
        <w:tabs>
          <w:tab w:val="clear" w:pos="454"/>
          <w:tab w:val="num" w:pos="596"/>
        </w:tabs>
        <w:suppressAutoHyphens w:val="0"/>
        <w:ind w:left="596"/>
        <w:jc w:val="both"/>
        <w:rPr>
          <w:rFonts w:ascii="Tahoma" w:hAnsi="Tahoma" w:cs="Tahoma"/>
          <w:sz w:val="22"/>
          <w:szCs w:val="22"/>
        </w:rPr>
      </w:pPr>
      <w:r w:rsidRPr="00D20520">
        <w:rPr>
          <w:rFonts w:ascii="Tahoma" w:hAnsi="Tahoma" w:cs="Tahoma"/>
          <w:sz w:val="22"/>
          <w:szCs w:val="22"/>
        </w:rPr>
        <w:t>Mediante escritos presentados el 28 y 30 de enero de 2009, el Sr. Edwin Nixon Córdova Pérez, en adelante el Denunciado, interpuso recurso de apelación contra la calificación de su propuesta técnica y otorgamiento de la Buena Pro, respecto de los ítems Nº 01, Nº 02, Nº 03 y Nº 04.</w:t>
      </w:r>
    </w:p>
    <w:p w:rsidR="0008619C" w:rsidRPr="00D20520"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tabs>
          <w:tab w:val="clear" w:pos="454"/>
          <w:tab w:val="num" w:pos="596"/>
        </w:tabs>
        <w:suppressAutoHyphens w:val="0"/>
        <w:ind w:left="596"/>
        <w:jc w:val="both"/>
        <w:rPr>
          <w:rFonts w:ascii="Tahoma" w:hAnsi="Tahoma" w:cs="Tahoma"/>
          <w:sz w:val="22"/>
          <w:szCs w:val="22"/>
        </w:rPr>
      </w:pPr>
      <w:r w:rsidRPr="00D20520">
        <w:rPr>
          <w:rFonts w:ascii="Tahoma" w:hAnsi="Tahoma" w:cs="Tahoma"/>
          <w:sz w:val="22"/>
          <w:szCs w:val="22"/>
        </w:rPr>
        <w:t xml:space="preserve">Con fecha 03 y 09 de marzo del 2009, el Tribunal de Contrataciones </w:t>
      </w:r>
      <w:r>
        <w:rPr>
          <w:rFonts w:ascii="Tahoma" w:hAnsi="Tahoma" w:cs="Tahoma"/>
          <w:sz w:val="22"/>
          <w:szCs w:val="22"/>
        </w:rPr>
        <w:t xml:space="preserve">del Estado, en adelante el Tribunal, </w:t>
      </w:r>
      <w:r w:rsidRPr="00D20520">
        <w:rPr>
          <w:rFonts w:ascii="Tahoma" w:hAnsi="Tahoma" w:cs="Tahoma"/>
          <w:sz w:val="22"/>
          <w:szCs w:val="22"/>
        </w:rPr>
        <w:t xml:space="preserve">otorgó </w:t>
      </w:r>
      <w:r>
        <w:rPr>
          <w:rFonts w:ascii="Tahoma" w:hAnsi="Tahoma" w:cs="Tahoma"/>
          <w:sz w:val="22"/>
          <w:szCs w:val="22"/>
        </w:rPr>
        <w:t>a favor del</w:t>
      </w:r>
      <w:r w:rsidRPr="00D20520">
        <w:rPr>
          <w:rFonts w:ascii="Tahoma" w:hAnsi="Tahoma" w:cs="Tahoma"/>
          <w:sz w:val="22"/>
          <w:szCs w:val="22"/>
        </w:rPr>
        <w:t xml:space="preserve"> Denunciada la Buena Pro de los ítems Nº 01, Nº 02, Nº 03 y Nº 04, bajo el siguiente detalle:</w:t>
      </w:r>
    </w:p>
    <w:p w:rsidR="0008619C" w:rsidRDefault="0008619C" w:rsidP="0008619C">
      <w:pPr>
        <w:rPr>
          <w:rFonts w:ascii="Tahoma" w:hAnsi="Tahoma" w:cs="Tahoma"/>
        </w:rPr>
      </w:pPr>
    </w:p>
    <w:p w:rsidR="0002666B" w:rsidRPr="00734FEE" w:rsidRDefault="0002666B" w:rsidP="0008619C">
      <w:pPr>
        <w:rPr>
          <w:rFonts w:ascii="Tahoma" w:hAnsi="Tahoma" w:cs="Tahoma"/>
        </w:rPr>
      </w:pPr>
    </w:p>
    <w:tbl>
      <w:tblPr>
        <w:tblStyle w:val="Tablaconcuadrcula"/>
        <w:tblW w:w="0" w:type="auto"/>
        <w:tblInd w:w="596" w:type="dxa"/>
        <w:tblLook w:val="04A0"/>
      </w:tblPr>
      <w:tblGrid>
        <w:gridCol w:w="2195"/>
        <w:gridCol w:w="2676"/>
        <w:gridCol w:w="628"/>
        <w:gridCol w:w="2625"/>
      </w:tblGrid>
      <w:tr w:rsidR="0008619C" w:rsidTr="000B5895">
        <w:tc>
          <w:tcPr>
            <w:tcW w:w="2206" w:type="dxa"/>
            <w:shd w:val="clear" w:color="auto" w:fill="7F7F7F" w:themeFill="text1" w:themeFillTint="80"/>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lastRenderedPageBreak/>
              <w:t>EXPEDIENTE</w:t>
            </w:r>
          </w:p>
        </w:tc>
        <w:tc>
          <w:tcPr>
            <w:tcW w:w="2693" w:type="dxa"/>
            <w:shd w:val="clear" w:color="auto" w:fill="7F7F7F" w:themeFill="text1" w:themeFillTint="80"/>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RESOLUCIÓN</w:t>
            </w:r>
          </w:p>
        </w:tc>
        <w:tc>
          <w:tcPr>
            <w:tcW w:w="583" w:type="dxa"/>
            <w:shd w:val="clear" w:color="auto" w:fill="7F7F7F" w:themeFill="text1" w:themeFillTint="80"/>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ITEM</w:t>
            </w:r>
          </w:p>
        </w:tc>
        <w:tc>
          <w:tcPr>
            <w:tcW w:w="2642" w:type="dxa"/>
            <w:shd w:val="clear" w:color="auto" w:fill="7F7F7F" w:themeFill="text1" w:themeFillTint="80"/>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LA SALA RESUELVE</w:t>
            </w:r>
          </w:p>
        </w:tc>
      </w:tr>
      <w:tr w:rsidR="0008619C" w:rsidTr="000B5895">
        <w:tc>
          <w:tcPr>
            <w:tcW w:w="2206"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Expediente Nº 442-2009-TC</w:t>
            </w:r>
          </w:p>
        </w:tc>
        <w:tc>
          <w:tcPr>
            <w:tcW w:w="269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RESOLUCIÓN Nº 681-2009-TC-S1</w:t>
            </w:r>
          </w:p>
        </w:tc>
        <w:tc>
          <w:tcPr>
            <w:tcW w:w="58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1</w:t>
            </w:r>
          </w:p>
        </w:tc>
        <w:tc>
          <w:tcPr>
            <w:tcW w:w="2642" w:type="dxa"/>
            <w:vAlign w:val="center"/>
          </w:tcPr>
          <w:p w:rsidR="0008619C" w:rsidRPr="00734FEE" w:rsidRDefault="0008619C" w:rsidP="000B5895">
            <w:pPr>
              <w:jc w:val="center"/>
              <w:rPr>
                <w:rFonts w:ascii="Tahoma" w:hAnsi="Tahoma" w:cs="Tahoma"/>
                <w:sz w:val="18"/>
                <w:szCs w:val="18"/>
              </w:rPr>
            </w:pPr>
            <w:r w:rsidRPr="00734FEE">
              <w:rPr>
                <w:rFonts w:ascii="Tahoma" w:hAnsi="Tahoma" w:cs="Tahoma"/>
                <w:sz w:val="18"/>
                <w:szCs w:val="18"/>
              </w:rPr>
              <w:t xml:space="preserve">-Fundado el recurso de apelación presentado por </w:t>
            </w:r>
            <w:r>
              <w:rPr>
                <w:rFonts w:ascii="Tahoma" w:hAnsi="Tahoma" w:cs="Tahoma"/>
                <w:sz w:val="18"/>
                <w:szCs w:val="18"/>
              </w:rPr>
              <w:t>el Denunciado, otorgándole</w:t>
            </w:r>
            <w:r w:rsidRPr="00734FEE">
              <w:rPr>
                <w:rFonts w:ascii="Tahoma" w:hAnsi="Tahoma" w:cs="Tahoma"/>
                <w:sz w:val="18"/>
                <w:szCs w:val="18"/>
              </w:rPr>
              <w:t xml:space="preserve"> la buena pro del ítem Nº 01</w:t>
            </w:r>
          </w:p>
        </w:tc>
      </w:tr>
      <w:tr w:rsidR="0008619C" w:rsidTr="000B5895">
        <w:tc>
          <w:tcPr>
            <w:tcW w:w="2206"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Expediente Nº 381-2009-TC</w:t>
            </w:r>
          </w:p>
        </w:tc>
        <w:tc>
          <w:tcPr>
            <w:tcW w:w="269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RESOLUCIÓN Nº 731-2009-TC-S1</w:t>
            </w:r>
          </w:p>
        </w:tc>
        <w:tc>
          <w:tcPr>
            <w:tcW w:w="58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2</w:t>
            </w:r>
          </w:p>
        </w:tc>
        <w:tc>
          <w:tcPr>
            <w:tcW w:w="2642"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 xml:space="preserve">Fundado el recurso de apelación presentado por </w:t>
            </w:r>
            <w:r>
              <w:rPr>
                <w:rFonts w:ascii="Tahoma" w:hAnsi="Tahoma" w:cs="Tahoma"/>
                <w:sz w:val="18"/>
                <w:szCs w:val="18"/>
              </w:rPr>
              <w:t>el Denunciado,</w:t>
            </w:r>
            <w:r w:rsidRPr="00734FEE">
              <w:rPr>
                <w:rFonts w:ascii="Tahoma" w:hAnsi="Tahoma" w:cs="Tahoma"/>
                <w:sz w:val="18"/>
                <w:szCs w:val="18"/>
              </w:rPr>
              <w:t xml:space="preserve"> otorgándole la buena pro del ítem Nº 02</w:t>
            </w:r>
          </w:p>
        </w:tc>
      </w:tr>
      <w:tr w:rsidR="0008619C" w:rsidTr="000B5895">
        <w:tc>
          <w:tcPr>
            <w:tcW w:w="2206"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Expediente Nº 444-2009-TC</w:t>
            </w:r>
          </w:p>
        </w:tc>
        <w:tc>
          <w:tcPr>
            <w:tcW w:w="269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RESOLUCIÓN Nº 682-2009-TC-S1</w:t>
            </w:r>
          </w:p>
        </w:tc>
        <w:tc>
          <w:tcPr>
            <w:tcW w:w="58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3</w:t>
            </w:r>
          </w:p>
        </w:tc>
        <w:tc>
          <w:tcPr>
            <w:tcW w:w="2642"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 xml:space="preserve">Fundado el recurso de apelación presentado por </w:t>
            </w:r>
            <w:r>
              <w:rPr>
                <w:rFonts w:ascii="Tahoma" w:hAnsi="Tahoma" w:cs="Tahoma"/>
                <w:sz w:val="18"/>
                <w:szCs w:val="18"/>
              </w:rPr>
              <w:t>el Denunciado,</w:t>
            </w:r>
            <w:r w:rsidRPr="00734FEE">
              <w:rPr>
                <w:rFonts w:ascii="Tahoma" w:hAnsi="Tahoma" w:cs="Tahoma"/>
                <w:sz w:val="18"/>
                <w:szCs w:val="18"/>
              </w:rPr>
              <w:t xml:space="preserve"> otorgándole la buena pro del ítem Nº 03</w:t>
            </w:r>
          </w:p>
        </w:tc>
      </w:tr>
      <w:tr w:rsidR="0008619C" w:rsidTr="000B5895">
        <w:tc>
          <w:tcPr>
            <w:tcW w:w="2206"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Expediente Nº 441-2009-TC</w:t>
            </w:r>
          </w:p>
        </w:tc>
        <w:tc>
          <w:tcPr>
            <w:tcW w:w="269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RESOLUCIÓN Nº 680-2009-TC-S1</w:t>
            </w:r>
          </w:p>
        </w:tc>
        <w:tc>
          <w:tcPr>
            <w:tcW w:w="583"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4</w:t>
            </w:r>
          </w:p>
        </w:tc>
        <w:tc>
          <w:tcPr>
            <w:tcW w:w="2642" w:type="dxa"/>
            <w:vAlign w:val="center"/>
          </w:tcPr>
          <w:p w:rsidR="0008619C" w:rsidRPr="00734FEE" w:rsidRDefault="0008619C" w:rsidP="000B5895">
            <w:pPr>
              <w:pStyle w:val="Prrafodelista"/>
              <w:ind w:left="0"/>
              <w:jc w:val="center"/>
              <w:rPr>
                <w:rFonts w:ascii="Tahoma" w:hAnsi="Tahoma" w:cs="Tahoma"/>
                <w:sz w:val="18"/>
                <w:szCs w:val="18"/>
              </w:rPr>
            </w:pPr>
            <w:r w:rsidRPr="00734FEE">
              <w:rPr>
                <w:rFonts w:ascii="Tahoma" w:hAnsi="Tahoma" w:cs="Tahoma"/>
                <w:sz w:val="18"/>
                <w:szCs w:val="18"/>
              </w:rPr>
              <w:t xml:space="preserve">Fundado el recurso de apelación presentado por </w:t>
            </w:r>
            <w:r>
              <w:rPr>
                <w:rFonts w:ascii="Tahoma" w:hAnsi="Tahoma" w:cs="Tahoma"/>
                <w:sz w:val="18"/>
                <w:szCs w:val="18"/>
              </w:rPr>
              <w:t>el Denunciado</w:t>
            </w:r>
            <w:r w:rsidRPr="00734FEE">
              <w:rPr>
                <w:rFonts w:ascii="Tahoma" w:hAnsi="Tahoma" w:cs="Tahoma"/>
                <w:sz w:val="18"/>
                <w:szCs w:val="18"/>
              </w:rPr>
              <w:t xml:space="preserve"> otorgándole la buena pro del ítem Nº 0</w:t>
            </w:r>
            <w:r>
              <w:rPr>
                <w:rFonts w:ascii="Tahoma" w:hAnsi="Tahoma" w:cs="Tahoma"/>
                <w:sz w:val="18"/>
                <w:szCs w:val="18"/>
              </w:rPr>
              <w:t>4</w:t>
            </w:r>
          </w:p>
        </w:tc>
      </w:tr>
    </w:tbl>
    <w:p w:rsidR="0008619C" w:rsidRPr="00D20520" w:rsidRDefault="0008619C" w:rsidP="0008619C">
      <w:pPr>
        <w:pStyle w:val="Prrafodelista"/>
        <w:ind w:left="596"/>
        <w:jc w:val="both"/>
        <w:rPr>
          <w:rFonts w:ascii="Tahoma" w:hAnsi="Tahoma" w:cs="Tahoma"/>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El 20 de abril del 2009, la Entidad y el Denunciado suscribieron el Contrato Nº 51-2009-ADS-MP-FN-GG-GECLOG, respecto a los ítems Nº 01, 02, 03 y 04 de la</w:t>
      </w:r>
      <w:r w:rsidRPr="00D20520">
        <w:rPr>
          <w:rFonts w:ascii="Tahoma" w:hAnsi="Tahoma" w:cs="Tahoma"/>
          <w:sz w:val="22"/>
          <w:szCs w:val="22"/>
        </w:rPr>
        <w:t xml:space="preserve"> Adjudicación Directa Selectiva Nº 0108-2008-MP-FN-GECLOG-CEP/B-“B”</w:t>
      </w:r>
      <w:r>
        <w:rPr>
          <w:rFonts w:ascii="Tahoma" w:hAnsi="Tahoma" w:cs="Tahoma"/>
          <w:sz w:val="22"/>
          <w:szCs w:val="22"/>
        </w:rPr>
        <w:t>.</w:t>
      </w:r>
    </w:p>
    <w:p w:rsidR="0008619C" w:rsidRDefault="0008619C" w:rsidP="0008619C">
      <w:pPr>
        <w:pStyle w:val="Prrafodelista"/>
        <w:ind w:left="454"/>
        <w:jc w:val="both"/>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A través de la Carta Notarial Nº 023-2009-MP-FN-GG-GECLOG, notificada vía notarial el 09 de setiembre del 2009, la Entidad requirió al Denunciado que en el plazo de tres (3) días, cumpla con la entrega del bien adjudicado.</w:t>
      </w:r>
    </w:p>
    <w:p w:rsidR="0008619C" w:rsidRPr="004E613B"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Con Carta Notarial Nº 025-2009-MP-FN-GG-GECLOG, notificada vía notarial el 17 de setiembre del 2009, la Entidad resolvió el Contrato Nº 51-2009-ADS-MP-FN-GG-GECLOG.</w:t>
      </w:r>
    </w:p>
    <w:p w:rsidR="0008619C" w:rsidRPr="004E613B"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Mediante el escrito presentado el 07 de setiembre del 2010, la Entidad comunicó de los hechos antes expuestos al Tribunal.</w:t>
      </w:r>
    </w:p>
    <w:p w:rsidR="0008619C" w:rsidRPr="004E613B"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A través del decreto de fecha 10 de setiembre del 2010, se requirió a la Entidad que señale si la controversia generada por la resolución del Contrato Nº 51-2009-ADS-MP-FN-GG-GECLOG, ha sido sometida a procedimiento arbitral u otro mecanismo de solución de controversias, debiendo remitir, de ser el caso, la Demanda Arbitral y el Acta de Instalación del Tribunal Arbitral.</w:t>
      </w:r>
    </w:p>
    <w:p w:rsidR="0008619C" w:rsidRPr="00EF6A73"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Teniendo en consideración que la Entidad no cumplió con remitir la información solicitada, mediante decreto de fecha 07 de diciembre del 2010, se le reiteró a fin que cumpla con remitir la información solicitada.</w:t>
      </w:r>
    </w:p>
    <w:p w:rsidR="0008619C" w:rsidRPr="00EF6A73"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Con escrito presentado el 20 de diciembre del 2010, la Entidad informó que la controversia surgida con el Denunciado no ha sido sometida a procedimiento de conciliación, arbitraje u otro mecanismo alternativo de solución de conflictos.</w:t>
      </w:r>
    </w:p>
    <w:p w:rsidR="0008619C" w:rsidRPr="00EF6A73" w:rsidRDefault="0008619C" w:rsidP="0008619C">
      <w:pPr>
        <w:pStyle w:val="Prrafodelista"/>
        <w:rPr>
          <w:rFonts w:ascii="Tahoma" w:hAnsi="Tahoma" w:cs="Tahoma"/>
          <w:sz w:val="22"/>
          <w:szCs w:val="22"/>
        </w:rPr>
      </w:pPr>
    </w:p>
    <w:p w:rsidR="0008619C"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lastRenderedPageBreak/>
        <w:t xml:space="preserve">Mediante decreto de fecha 23 de diciembre del 2010, se inicio procedimiento administrativo sancionador contra el Denunciado por supuesta responsabilidad al haber dado lugar a la resolución del Contrato Nº 51-2009-ADS-MP-FN-GG-GECLOG derivado de los ítems Nº 01, Nº 02, Nº 03 y Nº 04 del proceso de selección </w:t>
      </w:r>
      <w:r w:rsidRPr="00D20520">
        <w:rPr>
          <w:rFonts w:ascii="Tahoma" w:hAnsi="Tahoma" w:cs="Tahoma"/>
          <w:sz w:val="22"/>
          <w:szCs w:val="22"/>
        </w:rPr>
        <w:t>Adjudicación Directa Selectiva Nº 0108-2008-MP-FN-GECLOG-CEP/B-“B”</w:t>
      </w:r>
      <w:r>
        <w:rPr>
          <w:rFonts w:ascii="Tahoma" w:hAnsi="Tahoma" w:cs="Tahoma"/>
          <w:sz w:val="22"/>
          <w:szCs w:val="22"/>
        </w:rPr>
        <w:t>. Asimismo, se le otorgó al Denunciado el plazo de diez (10) días hábiles, a fin que presente sus descargos.</w:t>
      </w:r>
    </w:p>
    <w:p w:rsidR="0008619C" w:rsidRPr="00F3509D" w:rsidRDefault="0008619C" w:rsidP="0008619C">
      <w:pPr>
        <w:pStyle w:val="Prrafodelista"/>
        <w:rPr>
          <w:rFonts w:ascii="Tahoma" w:hAnsi="Tahoma" w:cs="Tahoma"/>
          <w:sz w:val="22"/>
          <w:szCs w:val="22"/>
        </w:rPr>
      </w:pPr>
    </w:p>
    <w:p w:rsidR="0008619C" w:rsidRPr="00D20520" w:rsidRDefault="0008619C" w:rsidP="0008619C">
      <w:pPr>
        <w:pStyle w:val="Prrafodelista"/>
        <w:widowControl/>
        <w:numPr>
          <w:ilvl w:val="0"/>
          <w:numId w:val="6"/>
        </w:numPr>
        <w:suppressAutoHyphens w:val="0"/>
        <w:jc w:val="both"/>
        <w:rPr>
          <w:rFonts w:ascii="Tahoma" w:hAnsi="Tahoma" w:cs="Tahoma"/>
          <w:sz w:val="22"/>
          <w:szCs w:val="22"/>
        </w:rPr>
      </w:pPr>
      <w:r>
        <w:rPr>
          <w:rFonts w:ascii="Tahoma" w:hAnsi="Tahoma" w:cs="Tahoma"/>
          <w:sz w:val="22"/>
          <w:szCs w:val="22"/>
        </w:rPr>
        <w:t>A través del decreto de fecha 08 de marzo del 2011, se hizo efectivo el apercibimiento de resolver con la documentación obrante en autos y se remitió el presente expediente a la Primera Sala del Tribunal, teniendo en consideración que el Denunciado no presentó su escrito de descargos dentro del plazo otorgado.</w:t>
      </w:r>
    </w:p>
    <w:p w:rsidR="0008619C" w:rsidRPr="0008619C" w:rsidRDefault="0008619C" w:rsidP="0008619C">
      <w:pPr>
        <w:rPr>
          <w:rFonts w:ascii="Tahoma" w:hAnsi="Tahoma" w:cs="Tahoma"/>
          <w:b/>
          <w:sz w:val="22"/>
          <w:szCs w:val="22"/>
          <w:lang w:val="es-ES_tradnl"/>
        </w:rPr>
      </w:pPr>
    </w:p>
    <w:p w:rsidR="0008619C" w:rsidRPr="00AF0F6E" w:rsidRDefault="0008619C" w:rsidP="0008619C">
      <w:pPr>
        <w:pStyle w:val="Prrafodelista"/>
        <w:numPr>
          <w:ilvl w:val="0"/>
          <w:numId w:val="1"/>
        </w:numPr>
        <w:ind w:left="567" w:hanging="283"/>
        <w:rPr>
          <w:rFonts w:ascii="Tahoma" w:hAnsi="Tahoma" w:cs="Tahoma"/>
          <w:b/>
          <w:sz w:val="22"/>
          <w:szCs w:val="22"/>
        </w:rPr>
      </w:pPr>
      <w:r w:rsidRPr="00AF0F6E">
        <w:rPr>
          <w:rFonts w:ascii="Tahoma" w:hAnsi="Tahoma" w:cs="Tahoma"/>
          <w:b/>
          <w:sz w:val="22"/>
          <w:szCs w:val="22"/>
        </w:rPr>
        <w:t>FUNDAMENTACIÓN</w:t>
      </w:r>
    </w:p>
    <w:p w:rsidR="0008619C" w:rsidRPr="00AF0F6E" w:rsidRDefault="0008619C" w:rsidP="0008619C">
      <w:pPr>
        <w:ind w:left="426"/>
        <w:jc w:val="both"/>
        <w:rPr>
          <w:rFonts w:ascii="Tahoma" w:hAnsi="Tahoma" w:cs="Tahoma"/>
          <w:sz w:val="22"/>
          <w:szCs w:val="22"/>
          <w:lang w:eastAsia="es-PE"/>
        </w:rPr>
      </w:pPr>
    </w:p>
    <w:p w:rsidR="0008619C" w:rsidRDefault="0008619C" w:rsidP="0008619C">
      <w:pPr>
        <w:numPr>
          <w:ilvl w:val="0"/>
          <w:numId w:val="7"/>
        </w:numPr>
        <w:tabs>
          <w:tab w:val="clear" w:pos="360"/>
          <w:tab w:val="num" w:pos="0"/>
        </w:tabs>
        <w:ind w:left="567" w:hanging="567"/>
        <w:contextualSpacing/>
        <w:jc w:val="both"/>
        <w:rPr>
          <w:rFonts w:ascii="Tahoma" w:hAnsi="Tahoma" w:cs="Tahoma"/>
          <w:color w:val="000000" w:themeColor="text1"/>
          <w:sz w:val="22"/>
          <w:szCs w:val="22"/>
        </w:rPr>
      </w:pPr>
      <w:r w:rsidRPr="00542AFA">
        <w:rPr>
          <w:rFonts w:ascii="Tahoma" w:hAnsi="Tahoma" w:cs="Tahoma"/>
          <w:color w:val="000000" w:themeColor="text1"/>
          <w:sz w:val="22"/>
          <w:szCs w:val="22"/>
        </w:rPr>
        <w:t>Es materia del presente procedimiento administrativo la supuesta</w:t>
      </w:r>
      <w:r>
        <w:rPr>
          <w:rFonts w:ascii="Tahoma" w:hAnsi="Tahoma" w:cs="Tahoma"/>
          <w:color w:val="000000" w:themeColor="text1"/>
          <w:sz w:val="22"/>
          <w:szCs w:val="22"/>
        </w:rPr>
        <w:t xml:space="preserve"> responsabilidad del Denunciado</w:t>
      </w:r>
      <w:r w:rsidRPr="00542AFA">
        <w:rPr>
          <w:rFonts w:ascii="Tahoma" w:hAnsi="Tahoma" w:cs="Tahoma"/>
          <w:color w:val="000000" w:themeColor="text1"/>
          <w:sz w:val="22"/>
          <w:szCs w:val="22"/>
        </w:rPr>
        <w:t xml:space="preserve">, al haber dado lugar a la resolución </w:t>
      </w:r>
      <w:r>
        <w:rPr>
          <w:rFonts w:ascii="Tahoma" w:hAnsi="Tahoma" w:cs="Tahoma"/>
          <w:sz w:val="22"/>
          <w:szCs w:val="22"/>
          <w:lang w:val="es-ES_tradnl"/>
        </w:rPr>
        <w:t>de</w:t>
      </w:r>
      <w:r>
        <w:rPr>
          <w:rFonts w:ascii="Tahoma" w:hAnsi="Tahoma" w:cs="Tahoma"/>
          <w:sz w:val="22"/>
          <w:szCs w:val="22"/>
        </w:rPr>
        <w:t>l Contrato Nº 51-2009-ADS-MP-FN-GG-GECLOG</w:t>
      </w:r>
      <w:r w:rsidRPr="00542AFA">
        <w:rPr>
          <w:rFonts w:ascii="Tahoma" w:hAnsi="Tahoma" w:cs="Tahoma"/>
          <w:sz w:val="22"/>
          <w:szCs w:val="22"/>
          <w:lang w:val="es-ES_tradnl"/>
        </w:rPr>
        <w:t xml:space="preserve">, el cual fue materia de la </w:t>
      </w:r>
      <w:r w:rsidRPr="00D20520">
        <w:rPr>
          <w:rFonts w:ascii="Tahoma" w:hAnsi="Tahoma" w:cs="Tahoma"/>
          <w:sz w:val="22"/>
          <w:szCs w:val="22"/>
        </w:rPr>
        <w:t>Adjudicación Directa Selectiva Nº 0108-2008-MP-FN-GECLOG-CEP/B-“B”</w:t>
      </w:r>
      <w:r w:rsidRPr="00542AFA">
        <w:rPr>
          <w:rFonts w:ascii="Tahoma" w:hAnsi="Tahoma" w:cs="Tahoma"/>
          <w:color w:val="000000" w:themeColor="text1"/>
          <w:sz w:val="22"/>
          <w:szCs w:val="22"/>
        </w:rPr>
        <w:t xml:space="preserve">, </w:t>
      </w:r>
      <w:r w:rsidRPr="00542AFA">
        <w:rPr>
          <w:rFonts w:ascii="Tahoma" w:hAnsi="Tahoma" w:cs="Tahoma"/>
          <w:sz w:val="22"/>
          <w:szCs w:val="22"/>
        </w:rPr>
        <w:t>inf</w:t>
      </w:r>
      <w:r>
        <w:rPr>
          <w:rFonts w:ascii="Tahoma" w:hAnsi="Tahoma" w:cs="Tahoma"/>
          <w:sz w:val="22"/>
          <w:szCs w:val="22"/>
        </w:rPr>
        <w:t>racción tipificada en el literal b) del artículo 51.1 de la Ley de Contrataciones del Estado, aprobado mediante Decreto Legislativo Nº 1017, en adelante la Ley, en concordancia con el literal b) del numeral 1) del artículo 237 del Reglamento de la Ley de Contrataciones del Estado, aprobado mediante Decreto Supremo Nº 184-2008, en adelante el Reglamento,</w:t>
      </w:r>
      <w:r w:rsidRPr="00542AFA">
        <w:rPr>
          <w:rFonts w:ascii="Tahoma" w:hAnsi="Tahoma" w:cs="Tahoma"/>
          <w:sz w:val="22"/>
          <w:szCs w:val="22"/>
        </w:rPr>
        <w:t xml:space="preserve"> norma</w:t>
      </w:r>
      <w:r>
        <w:rPr>
          <w:rFonts w:ascii="Tahoma" w:hAnsi="Tahoma" w:cs="Tahoma"/>
          <w:sz w:val="22"/>
          <w:szCs w:val="22"/>
        </w:rPr>
        <w:t>s</w:t>
      </w:r>
      <w:r w:rsidRPr="00542AFA">
        <w:rPr>
          <w:rFonts w:ascii="Tahoma" w:hAnsi="Tahoma" w:cs="Tahoma"/>
          <w:sz w:val="22"/>
          <w:szCs w:val="22"/>
        </w:rPr>
        <w:t xml:space="preserve"> vigente</w:t>
      </w:r>
      <w:r>
        <w:rPr>
          <w:rFonts w:ascii="Tahoma" w:hAnsi="Tahoma" w:cs="Tahoma"/>
          <w:sz w:val="22"/>
          <w:szCs w:val="22"/>
        </w:rPr>
        <w:t>s</w:t>
      </w:r>
      <w:r w:rsidRPr="00542AFA">
        <w:rPr>
          <w:rFonts w:ascii="Tahoma" w:hAnsi="Tahoma" w:cs="Tahoma"/>
          <w:sz w:val="22"/>
          <w:szCs w:val="22"/>
        </w:rPr>
        <w:t xml:space="preserve"> al momento de suscitarse los hechos imputados</w:t>
      </w:r>
      <w:r>
        <w:rPr>
          <w:rFonts w:ascii="Tahoma" w:hAnsi="Tahoma" w:cs="Tahoma"/>
          <w:sz w:val="22"/>
          <w:szCs w:val="22"/>
        </w:rPr>
        <w:t>.</w:t>
      </w:r>
      <w:r w:rsidRPr="00542AFA">
        <w:rPr>
          <w:rFonts w:ascii="Tahoma" w:hAnsi="Tahoma" w:cs="Tahoma"/>
          <w:color w:val="000000" w:themeColor="text1"/>
          <w:sz w:val="22"/>
          <w:szCs w:val="22"/>
        </w:rPr>
        <w:t xml:space="preserve"> </w:t>
      </w:r>
    </w:p>
    <w:p w:rsidR="0008619C" w:rsidRPr="002725D9" w:rsidRDefault="0008619C" w:rsidP="0008619C">
      <w:pPr>
        <w:ind w:left="567"/>
        <w:contextualSpacing/>
        <w:jc w:val="both"/>
        <w:rPr>
          <w:rFonts w:ascii="Tahoma" w:hAnsi="Tahoma" w:cs="Tahoma"/>
          <w:color w:val="000000" w:themeColor="text1"/>
          <w:sz w:val="22"/>
          <w:szCs w:val="22"/>
        </w:rPr>
      </w:pPr>
    </w:p>
    <w:p w:rsidR="0008619C" w:rsidRPr="00C042C5" w:rsidRDefault="0008619C" w:rsidP="0008619C">
      <w:pPr>
        <w:numPr>
          <w:ilvl w:val="0"/>
          <w:numId w:val="7"/>
        </w:numPr>
        <w:tabs>
          <w:tab w:val="clear" w:pos="360"/>
        </w:tabs>
        <w:ind w:left="567" w:hanging="567"/>
        <w:jc w:val="both"/>
        <w:rPr>
          <w:rFonts w:ascii="Tahoma" w:hAnsi="Tahoma" w:cs="Tahoma"/>
          <w:color w:val="000000" w:themeColor="text1"/>
          <w:sz w:val="22"/>
          <w:szCs w:val="22"/>
        </w:rPr>
      </w:pPr>
      <w:r w:rsidRPr="00C042C5">
        <w:rPr>
          <w:rFonts w:ascii="Tahoma" w:hAnsi="Tahoma" w:cs="Tahoma"/>
          <w:sz w:val="22"/>
          <w:szCs w:val="22"/>
        </w:rPr>
        <w:t xml:space="preserve">Ahora bien, </w:t>
      </w:r>
      <w:r w:rsidRPr="00C042C5">
        <w:rPr>
          <w:rFonts w:ascii="Tahoma" w:hAnsi="Tahoma" w:cs="Tahoma"/>
          <w:sz w:val="22"/>
          <w:szCs w:val="22"/>
          <w:lang w:val="es-MX"/>
        </w:rPr>
        <w:t>como cuestión procesal previa, se advierte</w:t>
      </w:r>
      <w:r w:rsidRPr="00C042C5">
        <w:rPr>
          <w:rFonts w:ascii="Tahoma" w:hAnsi="Tahoma" w:cs="Tahoma"/>
          <w:sz w:val="22"/>
          <w:szCs w:val="22"/>
        </w:rPr>
        <w:t xml:space="preserve"> que </w:t>
      </w:r>
      <w:r w:rsidRPr="00C042C5">
        <w:rPr>
          <w:rFonts w:ascii="Tahoma" w:hAnsi="Tahoma" w:cs="Tahoma"/>
          <w:sz w:val="22"/>
          <w:szCs w:val="22"/>
          <w:lang w:val="es-MX"/>
        </w:rPr>
        <w:t xml:space="preserve">mediante </w:t>
      </w:r>
      <w:r w:rsidRPr="00C042C5">
        <w:rPr>
          <w:rFonts w:ascii="Tahoma" w:hAnsi="Tahoma" w:cs="Tahoma"/>
          <w:color w:val="000000" w:themeColor="text1"/>
          <w:sz w:val="22"/>
          <w:szCs w:val="22"/>
        </w:rPr>
        <w:t>Resolución № 1498-2010-TC-S2 de fecha 04 de agosto del 2010</w:t>
      </w:r>
      <w:r w:rsidRPr="00C042C5">
        <w:rPr>
          <w:rFonts w:ascii="Tahoma" w:hAnsi="Tahoma" w:cs="Tahoma"/>
          <w:sz w:val="22"/>
          <w:szCs w:val="22"/>
          <w:lang w:val="es-MX"/>
        </w:rPr>
        <w:t>,</w:t>
      </w:r>
      <w:r w:rsidRPr="00C042C5">
        <w:rPr>
          <w:rFonts w:ascii="Tahoma" w:hAnsi="Tahoma" w:cs="Tahoma"/>
          <w:sz w:val="22"/>
          <w:szCs w:val="22"/>
        </w:rPr>
        <w:t xml:space="preserve"> la Segunda </w:t>
      </w:r>
      <w:r w:rsidRPr="00C042C5">
        <w:rPr>
          <w:rFonts w:ascii="Tahoma" w:hAnsi="Tahoma" w:cs="Tahoma"/>
          <w:sz w:val="22"/>
          <w:szCs w:val="22"/>
          <w:lang w:val="es-MX"/>
        </w:rPr>
        <w:t xml:space="preserve">Sala del Tribunal impuso al Denunciado la sanción administrativa de </w:t>
      </w:r>
      <w:r w:rsidRPr="00C042C5">
        <w:rPr>
          <w:rFonts w:ascii="Tahoma" w:hAnsi="Tahoma" w:cs="Tahoma"/>
          <w:sz w:val="22"/>
          <w:szCs w:val="22"/>
        </w:rPr>
        <w:t>inhabilitación definitiva en sus derechos para participar en procesos de selección y contratar con el Estado, por cuanto había</w:t>
      </w:r>
      <w:r w:rsidRPr="00C042C5">
        <w:rPr>
          <w:rFonts w:ascii="Tahoma" w:hAnsi="Tahoma" w:cs="Tahoma"/>
          <w:sz w:val="22"/>
          <w:szCs w:val="22"/>
          <w:lang w:val="es-PE"/>
        </w:rPr>
        <w:t xml:space="preserve"> sido sancionado en  oportunidades anteriores con inhabilitación temporal cuyo tiempo sumado es mayor a treinta y seis (36) meses dentro de un lapso de cuatro (4) años</w:t>
      </w:r>
      <w:r w:rsidRPr="00C042C5">
        <w:rPr>
          <w:rFonts w:ascii="Tahoma" w:hAnsi="Tahoma" w:cs="Tahoma"/>
          <w:sz w:val="22"/>
          <w:szCs w:val="22"/>
        </w:rPr>
        <w:t>.</w:t>
      </w:r>
    </w:p>
    <w:p w:rsidR="0008619C" w:rsidRPr="002725D9" w:rsidRDefault="0008619C" w:rsidP="0008619C">
      <w:pPr>
        <w:pStyle w:val="Prrafodelista"/>
        <w:rPr>
          <w:rFonts w:ascii="Tahoma" w:hAnsi="Tahoma" w:cs="Tahoma"/>
          <w:color w:val="000000" w:themeColor="text1"/>
          <w:sz w:val="22"/>
          <w:szCs w:val="22"/>
        </w:rPr>
      </w:pPr>
    </w:p>
    <w:p w:rsidR="0008619C" w:rsidRPr="002725D9" w:rsidRDefault="0008619C" w:rsidP="0008619C">
      <w:pPr>
        <w:numPr>
          <w:ilvl w:val="0"/>
          <w:numId w:val="7"/>
        </w:numPr>
        <w:tabs>
          <w:tab w:val="clear" w:pos="360"/>
        </w:tabs>
        <w:ind w:left="567" w:hanging="567"/>
        <w:jc w:val="both"/>
        <w:rPr>
          <w:rFonts w:ascii="Tahoma" w:hAnsi="Tahoma" w:cs="Tahoma"/>
          <w:color w:val="000000" w:themeColor="text1"/>
          <w:sz w:val="22"/>
          <w:szCs w:val="22"/>
        </w:rPr>
      </w:pPr>
      <w:r w:rsidRPr="002725D9">
        <w:rPr>
          <w:rFonts w:ascii="Tahoma" w:hAnsi="Tahoma" w:cs="Tahoma"/>
          <w:sz w:val="22"/>
          <w:szCs w:val="22"/>
          <w:lang w:val="es-MX"/>
        </w:rPr>
        <w:t xml:space="preserve">Atendiendo a lo indicado, y considerando que la sanción administrativa de inhabilitación definitiva supone la </w:t>
      </w:r>
      <w:r w:rsidRPr="002725D9">
        <w:rPr>
          <w:rFonts w:ascii="Tahoma" w:hAnsi="Tahoma" w:cs="Tahoma"/>
          <w:sz w:val="22"/>
          <w:szCs w:val="22"/>
          <w:u w:val="single"/>
          <w:lang w:val="es-MX"/>
        </w:rPr>
        <w:t>privación permanente</w:t>
      </w:r>
      <w:r w:rsidRPr="002725D9">
        <w:rPr>
          <w:rFonts w:ascii="Tahoma" w:hAnsi="Tahoma" w:cs="Tahoma"/>
          <w:sz w:val="22"/>
          <w:szCs w:val="22"/>
          <w:lang w:val="es-MX"/>
        </w:rPr>
        <w:t xml:space="preserve"> en los derechos del infractor </w:t>
      </w:r>
      <w:r w:rsidRPr="002725D9">
        <w:rPr>
          <w:rFonts w:ascii="Tahoma" w:hAnsi="Tahoma" w:cs="Tahoma"/>
          <w:sz w:val="22"/>
          <w:szCs w:val="22"/>
        </w:rPr>
        <w:t>para participar en procesos de selección y contratar con el Estado,</w:t>
      </w:r>
      <w:r w:rsidRPr="002725D9">
        <w:rPr>
          <w:rFonts w:ascii="Tahoma" w:hAnsi="Tahoma" w:cs="Tahoma"/>
          <w:sz w:val="22"/>
          <w:szCs w:val="22"/>
          <w:lang w:val="es-MX"/>
        </w:rPr>
        <w:t xml:space="preserve"> carece de sentido, en caso llegue a determinarse una nueva responsab</w:t>
      </w:r>
      <w:r>
        <w:rPr>
          <w:rFonts w:ascii="Tahoma" w:hAnsi="Tahoma" w:cs="Tahoma"/>
          <w:sz w:val="22"/>
          <w:szCs w:val="22"/>
          <w:lang w:val="es-MX"/>
        </w:rPr>
        <w:t>ilidad, imponer al Denunciado</w:t>
      </w:r>
      <w:r w:rsidRPr="002725D9">
        <w:rPr>
          <w:rFonts w:ascii="Tahoma" w:hAnsi="Tahoma" w:cs="Tahoma"/>
          <w:sz w:val="22"/>
          <w:szCs w:val="22"/>
          <w:lang w:val="es-MX"/>
        </w:rPr>
        <w:t xml:space="preserve"> una sanción adicional de la misma naturaleza. En consecuencia, resulta irrelevante el análisis y posterior pronunciamiento que pudiera efectuar el Tribunal sobre la configuración de la infracción denunciada en el presente caso</w:t>
      </w:r>
      <w:r w:rsidRPr="002725D9">
        <w:rPr>
          <w:rFonts w:ascii="Tahoma" w:hAnsi="Tahoma" w:cs="Tahoma"/>
          <w:sz w:val="22"/>
          <w:szCs w:val="22"/>
        </w:rPr>
        <w:t>.</w:t>
      </w:r>
      <w:r w:rsidRPr="002725D9">
        <w:rPr>
          <w:rFonts w:ascii="Tahoma" w:hAnsi="Tahoma" w:cs="Tahoma"/>
          <w:sz w:val="22"/>
          <w:szCs w:val="22"/>
          <w:lang w:val="es-MX"/>
        </w:rPr>
        <w:t xml:space="preserve"> </w:t>
      </w:r>
    </w:p>
    <w:p w:rsidR="0008619C" w:rsidRPr="0008619C" w:rsidRDefault="0008619C" w:rsidP="0008619C">
      <w:pPr>
        <w:jc w:val="both"/>
        <w:rPr>
          <w:rFonts w:ascii="Tahoma" w:hAnsi="Tahoma" w:cs="Tahoma"/>
          <w:sz w:val="22"/>
          <w:szCs w:val="22"/>
        </w:rPr>
      </w:pPr>
    </w:p>
    <w:p w:rsidR="0008619C" w:rsidRPr="00AF0F6E" w:rsidRDefault="0008619C" w:rsidP="0008619C">
      <w:pPr>
        <w:ind w:firstLine="567"/>
        <w:jc w:val="both"/>
        <w:rPr>
          <w:rFonts w:ascii="Tahoma" w:eastAsiaTheme="minorHAnsi" w:hAnsi="Tahoma" w:cs="Tahoma"/>
          <w:color w:val="000000"/>
          <w:sz w:val="22"/>
          <w:szCs w:val="22"/>
        </w:rPr>
      </w:pPr>
      <w:r w:rsidRPr="00AF0F6E">
        <w:rPr>
          <w:rFonts w:ascii="Tahoma" w:hAnsi="Tahoma" w:cs="Tahoma"/>
          <w:sz w:val="22"/>
          <w:szCs w:val="22"/>
        </w:rPr>
        <w:t xml:space="preserve">Por estos fundamentos, </w:t>
      </w:r>
      <w:r w:rsidRPr="00AF0F6E">
        <w:rPr>
          <w:rFonts w:ascii="Tahoma" w:hAnsi="Tahoma" w:cs="Tahoma"/>
          <w:color w:val="000000"/>
          <w:sz w:val="22"/>
          <w:szCs w:val="22"/>
        </w:rPr>
        <w:t>de conformidad con el inf</w:t>
      </w:r>
      <w:r w:rsidRPr="00AF0F6E">
        <w:rPr>
          <w:rFonts w:ascii="Tahoma" w:eastAsia="Calibri" w:hAnsi="Tahoma" w:cs="Tahoma"/>
          <w:color w:val="000000"/>
          <w:sz w:val="22"/>
          <w:szCs w:val="22"/>
        </w:rPr>
        <w:t xml:space="preserve">orme de la Vocal Ponente Dra. Ada Rosa Basulto Liewald y la intervención de los Señores Vocales </w:t>
      </w:r>
      <w:r w:rsidRPr="00AF0F6E">
        <w:rPr>
          <w:rFonts w:ascii="Tahoma" w:eastAsiaTheme="minorHAnsi" w:hAnsi="Tahoma" w:cs="Tahoma"/>
          <w:color w:val="000000"/>
          <w:sz w:val="22"/>
          <w:szCs w:val="22"/>
        </w:rPr>
        <w:t xml:space="preserve">Dr. Carlos Vicente Navas Rondón y </w:t>
      </w:r>
      <w:r w:rsidRPr="00AF0F6E">
        <w:rPr>
          <w:rFonts w:ascii="Tahoma" w:eastAsia="Calibri" w:hAnsi="Tahoma" w:cs="Tahoma"/>
          <w:color w:val="000000"/>
          <w:sz w:val="22"/>
          <w:szCs w:val="22"/>
        </w:rPr>
        <w:t xml:space="preserve">Dra. Janette Elke Ramírez Maynetto; </w:t>
      </w:r>
      <w:r w:rsidRPr="00AF0F6E">
        <w:rPr>
          <w:rFonts w:ascii="Tahoma" w:eastAsiaTheme="minorHAnsi" w:hAnsi="Tahoma" w:cs="Tahoma"/>
          <w:color w:val="000000"/>
          <w:sz w:val="22"/>
          <w:szCs w:val="22"/>
        </w:rPr>
        <w:t xml:space="preserve">atendiendo a la reconformación </w:t>
      </w:r>
      <w:r w:rsidRPr="00AF0F6E">
        <w:rPr>
          <w:rFonts w:ascii="Tahoma" w:eastAsiaTheme="minorHAnsi" w:hAnsi="Tahoma" w:cs="Tahoma"/>
          <w:color w:val="000000"/>
          <w:sz w:val="22"/>
          <w:szCs w:val="22"/>
        </w:rPr>
        <w:lastRenderedPageBreak/>
        <w:t>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8619C" w:rsidRPr="00AF0F6E" w:rsidRDefault="0008619C" w:rsidP="0008619C">
      <w:pPr>
        <w:ind w:firstLine="426"/>
        <w:jc w:val="both"/>
        <w:rPr>
          <w:rFonts w:ascii="Tahoma" w:hAnsi="Tahoma" w:cs="Tahoma"/>
          <w:sz w:val="22"/>
          <w:szCs w:val="22"/>
        </w:rPr>
      </w:pPr>
    </w:p>
    <w:p w:rsidR="0008619C" w:rsidRPr="00AF0F6E" w:rsidRDefault="0008619C" w:rsidP="0008619C">
      <w:pPr>
        <w:ind w:firstLine="426"/>
        <w:jc w:val="both"/>
        <w:rPr>
          <w:rFonts w:ascii="Tahoma" w:hAnsi="Tahoma" w:cs="Tahoma"/>
          <w:sz w:val="22"/>
          <w:szCs w:val="22"/>
        </w:rPr>
      </w:pPr>
    </w:p>
    <w:p w:rsidR="0008619C" w:rsidRPr="00AF0F6E" w:rsidRDefault="0008619C" w:rsidP="0008619C">
      <w:pPr>
        <w:ind w:firstLine="567"/>
        <w:jc w:val="both"/>
        <w:rPr>
          <w:rFonts w:ascii="Tahoma" w:hAnsi="Tahoma" w:cs="Tahoma"/>
          <w:b/>
          <w:sz w:val="22"/>
          <w:szCs w:val="22"/>
        </w:rPr>
      </w:pPr>
      <w:r w:rsidRPr="00AF0F6E">
        <w:rPr>
          <w:rFonts w:ascii="Tahoma" w:hAnsi="Tahoma" w:cs="Tahoma"/>
          <w:b/>
          <w:sz w:val="22"/>
          <w:szCs w:val="22"/>
        </w:rPr>
        <w:t xml:space="preserve">LA SALA RESUELVE: </w:t>
      </w:r>
    </w:p>
    <w:p w:rsidR="0008619C" w:rsidRPr="00AF0F6E" w:rsidRDefault="0008619C" w:rsidP="0008619C">
      <w:pPr>
        <w:jc w:val="both"/>
        <w:rPr>
          <w:rFonts w:ascii="Tahoma" w:hAnsi="Tahoma" w:cs="Tahoma"/>
          <w:snapToGrid w:val="0"/>
          <w:sz w:val="22"/>
          <w:szCs w:val="22"/>
        </w:rPr>
      </w:pPr>
    </w:p>
    <w:p w:rsidR="0008619C" w:rsidRPr="002725D9" w:rsidRDefault="0008619C" w:rsidP="0008619C">
      <w:pPr>
        <w:pStyle w:val="Prrafodelista"/>
        <w:numPr>
          <w:ilvl w:val="0"/>
          <w:numId w:val="8"/>
        </w:numPr>
        <w:ind w:left="540" w:hanging="567"/>
        <w:jc w:val="both"/>
        <w:rPr>
          <w:rFonts w:ascii="Tahoma" w:hAnsi="Tahoma" w:cs="Tahoma"/>
          <w:sz w:val="22"/>
          <w:szCs w:val="22"/>
        </w:rPr>
      </w:pPr>
      <w:r w:rsidRPr="002725D9">
        <w:rPr>
          <w:rFonts w:ascii="Tahoma" w:hAnsi="Tahoma" w:cs="Tahoma"/>
          <w:sz w:val="22"/>
          <w:szCs w:val="22"/>
        </w:rPr>
        <w:t>Declarar que carece de objeto que el Tribunal emita pronunciamiento respecto a la imposición de sanción contra</w:t>
      </w:r>
      <w:r>
        <w:rPr>
          <w:rFonts w:ascii="Tahoma" w:hAnsi="Tahoma" w:cs="Tahoma"/>
          <w:sz w:val="22"/>
          <w:szCs w:val="22"/>
        </w:rPr>
        <w:t xml:space="preserve"> la persona natural</w:t>
      </w:r>
      <w:r w:rsidRPr="002725D9">
        <w:rPr>
          <w:rFonts w:ascii="Tahoma" w:hAnsi="Tahoma" w:cs="Tahoma"/>
          <w:sz w:val="22"/>
          <w:szCs w:val="22"/>
        </w:rPr>
        <w:t xml:space="preserve"> </w:t>
      </w:r>
      <w:r w:rsidRPr="00D20520">
        <w:rPr>
          <w:rFonts w:ascii="Tahoma" w:hAnsi="Tahoma" w:cs="Tahoma"/>
          <w:sz w:val="22"/>
          <w:szCs w:val="22"/>
        </w:rPr>
        <w:t>Edwin Nixon Córdova Pérez</w:t>
      </w:r>
      <w:r w:rsidRPr="002725D9">
        <w:rPr>
          <w:rFonts w:ascii="Tahoma" w:hAnsi="Tahoma" w:cs="Tahoma"/>
          <w:sz w:val="22"/>
          <w:szCs w:val="22"/>
        </w:rPr>
        <w:t xml:space="preserve">, por la comisión de la infracción </w:t>
      </w:r>
      <w:r w:rsidRPr="002725D9">
        <w:rPr>
          <w:rFonts w:ascii="Tahoma" w:eastAsia="MS Mincho" w:hAnsi="Tahoma" w:cs="Tahoma"/>
          <w:color w:val="000000" w:themeColor="text1"/>
          <w:sz w:val="22"/>
          <w:szCs w:val="22"/>
        </w:rPr>
        <w:t>tipificada</w:t>
      </w:r>
      <w:r w:rsidRPr="00542AFA">
        <w:rPr>
          <w:rFonts w:ascii="Tahoma" w:hAnsi="Tahoma" w:cs="Tahoma"/>
          <w:sz w:val="22"/>
          <w:szCs w:val="22"/>
        </w:rPr>
        <w:t xml:space="preserve"> en el </w:t>
      </w:r>
      <w:r>
        <w:rPr>
          <w:rFonts w:ascii="Tahoma" w:hAnsi="Tahoma" w:cs="Tahoma"/>
          <w:sz w:val="22"/>
          <w:szCs w:val="22"/>
        </w:rPr>
        <w:t>tipificada en el literal b) del artículo 51.1 de la Ley de Contrataciones del Estado, en concordancia con el literal b) del numeral 1) del artículo 237 del Reglamento de la Ley de Contrataciones del Estado.</w:t>
      </w:r>
    </w:p>
    <w:p w:rsidR="0008619C" w:rsidRPr="0008619C" w:rsidRDefault="0008619C" w:rsidP="0008619C">
      <w:pPr>
        <w:ind w:left="567"/>
        <w:jc w:val="both"/>
        <w:rPr>
          <w:rFonts w:ascii="Tahoma" w:hAnsi="Tahoma" w:cs="Tahoma"/>
          <w:sz w:val="21"/>
          <w:szCs w:val="21"/>
          <w:lang w:val="es-ES_tradnl"/>
        </w:rPr>
      </w:pPr>
    </w:p>
    <w:p w:rsidR="0008619C" w:rsidRPr="00AF0F6E" w:rsidRDefault="0008619C" w:rsidP="0008619C">
      <w:pPr>
        <w:pStyle w:val="Textoindependiente21"/>
        <w:ind w:firstLine="567"/>
        <w:rPr>
          <w:rFonts w:cs="Tahoma"/>
          <w:szCs w:val="22"/>
        </w:rPr>
      </w:pPr>
      <w:r w:rsidRPr="00AF0F6E">
        <w:rPr>
          <w:rFonts w:cs="Tahoma"/>
          <w:szCs w:val="22"/>
        </w:rPr>
        <w:t>Regístrese, comuníquese y publíquese.</w:t>
      </w: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z w:val="22"/>
          <w:szCs w:val="22"/>
        </w:rPr>
      </w:pPr>
    </w:p>
    <w:p w:rsidR="0008619C" w:rsidRPr="00AF0F6E" w:rsidRDefault="0008619C" w:rsidP="0008619C">
      <w:pPr>
        <w:jc w:val="center"/>
        <w:rPr>
          <w:rFonts w:ascii="Tahoma" w:hAnsi="Tahoma" w:cs="Tahoma"/>
          <w:b/>
          <w:shadow/>
          <w:sz w:val="22"/>
          <w:szCs w:val="22"/>
          <w:lang w:val="pt-BR"/>
        </w:rPr>
      </w:pPr>
      <w:r w:rsidRPr="00AF0F6E">
        <w:rPr>
          <w:rFonts w:ascii="Tahoma" w:hAnsi="Tahoma" w:cs="Tahoma"/>
          <w:b/>
          <w:shadow/>
          <w:sz w:val="22"/>
          <w:szCs w:val="22"/>
          <w:lang w:val="pt-BR"/>
        </w:rPr>
        <w:t>PRESIDENTE</w:t>
      </w:r>
    </w:p>
    <w:p w:rsidR="0008619C" w:rsidRPr="00AF0F6E" w:rsidRDefault="0008619C" w:rsidP="0008619C">
      <w:pPr>
        <w:ind w:firstLine="708"/>
        <w:rPr>
          <w:rFonts w:ascii="Tahoma" w:hAnsi="Tahoma" w:cs="Tahoma"/>
          <w:b/>
          <w:shadow/>
          <w:sz w:val="22"/>
          <w:szCs w:val="22"/>
          <w:lang w:val="pt-BR"/>
        </w:rPr>
      </w:pPr>
    </w:p>
    <w:p w:rsidR="0008619C" w:rsidRPr="00AF0F6E" w:rsidRDefault="0008619C" w:rsidP="0008619C">
      <w:pPr>
        <w:ind w:firstLine="708"/>
        <w:rPr>
          <w:rFonts w:ascii="Tahoma" w:hAnsi="Tahoma" w:cs="Tahoma"/>
          <w:b/>
          <w:shadow/>
          <w:sz w:val="22"/>
          <w:szCs w:val="22"/>
          <w:lang w:val="pt-BR"/>
        </w:rPr>
      </w:pPr>
      <w:r w:rsidRPr="00AF0F6E">
        <w:rPr>
          <w:rFonts w:ascii="Tahoma" w:hAnsi="Tahoma" w:cs="Tahoma"/>
          <w:b/>
          <w:shadow/>
          <w:sz w:val="22"/>
          <w:szCs w:val="22"/>
          <w:lang w:val="pt-BR"/>
        </w:rPr>
        <w:t xml:space="preserve">VOCAL           </w:t>
      </w:r>
      <w:r w:rsidRPr="00AF0F6E">
        <w:rPr>
          <w:rFonts w:ascii="Tahoma" w:hAnsi="Tahoma" w:cs="Tahoma"/>
          <w:b/>
          <w:shadow/>
          <w:sz w:val="22"/>
          <w:szCs w:val="22"/>
          <w:lang w:val="pt-BR"/>
        </w:rPr>
        <w:tab/>
      </w:r>
      <w:r w:rsidRPr="00AF0F6E">
        <w:rPr>
          <w:rFonts w:ascii="Tahoma" w:hAnsi="Tahoma" w:cs="Tahoma"/>
          <w:b/>
          <w:shadow/>
          <w:sz w:val="22"/>
          <w:szCs w:val="22"/>
          <w:lang w:val="pt-BR"/>
        </w:rPr>
        <w:tab/>
        <w:t xml:space="preserve">                                                     VOCAL</w:t>
      </w:r>
    </w:p>
    <w:p w:rsidR="0008619C" w:rsidRPr="00AF0F6E" w:rsidRDefault="0008619C" w:rsidP="0008619C">
      <w:pPr>
        <w:ind w:firstLine="708"/>
        <w:rPr>
          <w:rFonts w:ascii="Tahoma" w:hAnsi="Tahoma" w:cs="Tahoma"/>
          <w:b/>
          <w:shadow/>
          <w:sz w:val="22"/>
          <w:szCs w:val="22"/>
          <w:lang w:val="pt-BR"/>
        </w:rPr>
      </w:pPr>
    </w:p>
    <w:p w:rsidR="0008619C" w:rsidRPr="00AF0F6E" w:rsidRDefault="0008619C" w:rsidP="0008619C">
      <w:pPr>
        <w:jc w:val="both"/>
        <w:rPr>
          <w:rFonts w:ascii="Tahoma" w:hAnsi="Tahoma" w:cs="Tahoma"/>
          <w:sz w:val="22"/>
          <w:szCs w:val="22"/>
          <w:lang w:val="pt-BR"/>
        </w:rPr>
      </w:pPr>
      <w:r w:rsidRPr="00AF0F6E">
        <w:rPr>
          <w:rFonts w:ascii="Tahoma" w:hAnsi="Tahoma" w:cs="Tahoma"/>
          <w:sz w:val="22"/>
          <w:szCs w:val="22"/>
          <w:lang w:val="pt-BR"/>
        </w:rPr>
        <w:t>ss.</w:t>
      </w:r>
    </w:p>
    <w:p w:rsidR="0008619C" w:rsidRPr="00AF0F6E" w:rsidRDefault="0008619C" w:rsidP="0008619C">
      <w:pPr>
        <w:pStyle w:val="Textoindependiente21"/>
        <w:tabs>
          <w:tab w:val="left" w:pos="5250"/>
        </w:tabs>
        <w:rPr>
          <w:rFonts w:cs="Tahoma"/>
          <w:szCs w:val="22"/>
          <w:lang w:val="pt-BR"/>
        </w:rPr>
      </w:pPr>
      <w:r w:rsidRPr="00AF0F6E">
        <w:rPr>
          <w:rFonts w:cs="Tahoma"/>
          <w:szCs w:val="22"/>
          <w:lang w:val="pt-BR"/>
        </w:rPr>
        <w:t>Navas Rondón.</w:t>
      </w:r>
    </w:p>
    <w:p w:rsidR="0008619C" w:rsidRPr="00AF0F6E" w:rsidRDefault="0008619C" w:rsidP="0008619C">
      <w:pPr>
        <w:pStyle w:val="Textoindependiente21"/>
        <w:tabs>
          <w:tab w:val="left" w:pos="5250"/>
        </w:tabs>
        <w:rPr>
          <w:rFonts w:cs="Tahoma"/>
          <w:szCs w:val="22"/>
          <w:lang w:val="pt-BR"/>
        </w:rPr>
      </w:pPr>
      <w:r w:rsidRPr="00AF0F6E">
        <w:rPr>
          <w:rFonts w:cs="Tahoma"/>
          <w:szCs w:val="22"/>
        </w:rPr>
        <w:t>Ramírez Maynetto.</w:t>
      </w:r>
    </w:p>
    <w:p w:rsidR="0008619C" w:rsidRPr="00AF0F6E" w:rsidRDefault="0008619C" w:rsidP="0008619C">
      <w:pPr>
        <w:pStyle w:val="Textoindependiente21"/>
        <w:rPr>
          <w:rFonts w:cs="Tahoma"/>
          <w:szCs w:val="22"/>
        </w:rPr>
      </w:pPr>
      <w:r w:rsidRPr="00AF0F6E">
        <w:rPr>
          <w:rFonts w:cs="Tahoma"/>
          <w:szCs w:val="22"/>
        </w:rPr>
        <w:t>Basulto Liewald.</w:t>
      </w:r>
    </w:p>
    <w:p w:rsidR="0008619C" w:rsidRPr="00AF0F6E" w:rsidRDefault="0008619C" w:rsidP="0008619C">
      <w:pPr>
        <w:rPr>
          <w:sz w:val="22"/>
          <w:szCs w:val="22"/>
        </w:rPr>
      </w:pPr>
    </w:p>
    <w:p w:rsidR="0008619C" w:rsidRPr="00AF0F6E" w:rsidRDefault="0008619C" w:rsidP="0008619C">
      <w:pPr>
        <w:rPr>
          <w:sz w:val="22"/>
          <w:szCs w:val="22"/>
        </w:rPr>
      </w:pPr>
    </w:p>
    <w:p w:rsidR="0008619C" w:rsidRDefault="0008619C" w:rsidP="0008619C"/>
    <w:p w:rsidR="008B738B" w:rsidRDefault="00151558"/>
    <w:sectPr w:rsidR="008B738B" w:rsidSect="00AF0F6E">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558" w:rsidRDefault="00151558" w:rsidP="007C70BD">
      <w:r>
        <w:separator/>
      </w:r>
    </w:p>
  </w:endnote>
  <w:endnote w:type="continuationSeparator" w:id="1">
    <w:p w:rsidR="00151558" w:rsidRDefault="00151558" w:rsidP="007C70BD">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516"/>
      <w:docPartObj>
        <w:docPartGallery w:val="Page Numbers (Bottom of Page)"/>
        <w:docPartUnique/>
      </w:docPartObj>
    </w:sdtPr>
    <w:sdtContent>
      <w:sdt>
        <w:sdtPr>
          <w:id w:val="216747541"/>
          <w:docPartObj>
            <w:docPartGallery w:val="Page Numbers (Top of Page)"/>
            <w:docPartUnique/>
          </w:docPartObj>
        </w:sdtPr>
        <w:sdtContent>
          <w:p w:rsidR="00AF0F6E" w:rsidRDefault="00E618A7">
            <w:pPr>
              <w:pStyle w:val="Piedepgina"/>
              <w:jc w:val="center"/>
            </w:pPr>
            <w:r>
              <w:t xml:space="preserve">Página </w:t>
            </w:r>
            <w:r w:rsidR="007C70BD">
              <w:rPr>
                <w:b/>
              </w:rPr>
              <w:fldChar w:fldCharType="begin"/>
            </w:r>
            <w:r>
              <w:rPr>
                <w:b/>
              </w:rPr>
              <w:instrText>PAGE</w:instrText>
            </w:r>
            <w:r w:rsidR="007C70BD">
              <w:rPr>
                <w:b/>
              </w:rPr>
              <w:fldChar w:fldCharType="separate"/>
            </w:r>
            <w:r w:rsidR="00AF7C40">
              <w:rPr>
                <w:b/>
                <w:noProof/>
              </w:rPr>
              <w:t>1</w:t>
            </w:r>
            <w:r w:rsidR="007C70BD">
              <w:rPr>
                <w:b/>
              </w:rPr>
              <w:fldChar w:fldCharType="end"/>
            </w:r>
            <w:r>
              <w:t xml:space="preserve"> de </w:t>
            </w:r>
            <w:r w:rsidR="007C70BD">
              <w:rPr>
                <w:b/>
              </w:rPr>
              <w:fldChar w:fldCharType="begin"/>
            </w:r>
            <w:r>
              <w:rPr>
                <w:b/>
              </w:rPr>
              <w:instrText>NUMPAGES</w:instrText>
            </w:r>
            <w:r w:rsidR="007C70BD">
              <w:rPr>
                <w:b/>
              </w:rPr>
              <w:fldChar w:fldCharType="separate"/>
            </w:r>
            <w:r w:rsidR="00AF7C40">
              <w:rPr>
                <w:b/>
                <w:noProof/>
              </w:rPr>
              <w:t>4</w:t>
            </w:r>
            <w:r w:rsidR="007C70BD">
              <w:rPr>
                <w:b/>
              </w:rPr>
              <w:fldChar w:fldCharType="end"/>
            </w:r>
          </w:p>
        </w:sdtContent>
      </w:sdt>
    </w:sdtContent>
  </w:sdt>
  <w:p w:rsidR="00AF0F6E" w:rsidRDefault="0015155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558" w:rsidRDefault="00151558" w:rsidP="007C70BD">
      <w:r>
        <w:separator/>
      </w:r>
    </w:p>
  </w:footnote>
  <w:footnote w:type="continuationSeparator" w:id="1">
    <w:p w:rsidR="00151558" w:rsidRDefault="00151558" w:rsidP="007C70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C40" w:rsidRDefault="00AF7C40" w:rsidP="00AF7C4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F7C40" w:rsidRDefault="00AF7C40" w:rsidP="00AF7C40">
    <w:pPr>
      <w:pStyle w:val="Encabezado"/>
      <w:rPr>
        <w:noProof/>
      </w:rPr>
    </w:pPr>
  </w:p>
  <w:p w:rsidR="00AF7C40" w:rsidRDefault="00AF7C40" w:rsidP="00AF7C40">
    <w:pPr>
      <w:pStyle w:val="Encabezado"/>
      <w:rPr>
        <w:noProof/>
      </w:rPr>
    </w:pPr>
  </w:p>
  <w:p w:rsidR="00AF7C40" w:rsidRDefault="00AF7C40" w:rsidP="00AF7C40">
    <w:pPr>
      <w:pStyle w:val="Encabezado"/>
      <w:rPr>
        <w:noProof/>
      </w:rPr>
    </w:pPr>
  </w:p>
  <w:p w:rsidR="00AF7C40" w:rsidRDefault="00AF7C40" w:rsidP="00AF7C40">
    <w:pPr>
      <w:pStyle w:val="Encabezado"/>
      <w:jc w:val="center"/>
    </w:pPr>
    <w:r>
      <w:rPr>
        <w:rFonts w:ascii="Monotype Corsiva" w:hAnsi="Monotype Corsiva"/>
        <w:b/>
        <w:sz w:val="44"/>
        <w:szCs w:val="44"/>
      </w:rPr>
      <w:t xml:space="preserve">Resolución Nº  </w:t>
    </w:r>
    <w:r>
      <w:rPr>
        <w:rFonts w:ascii="Tahoma" w:hAnsi="Tahoma" w:cs="Tahoma"/>
        <w:b/>
        <w:sz w:val="44"/>
        <w:szCs w:val="44"/>
      </w:rPr>
      <w:t>771-2011-TC-S1</w:t>
    </w:r>
  </w:p>
  <w:p w:rsidR="00AF7C40" w:rsidRDefault="00AF7C4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B5818"/>
    <w:multiLevelType w:val="hybridMultilevel"/>
    <w:tmpl w:val="B63A55B0"/>
    <w:lvl w:ilvl="0" w:tplc="0C0A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BAB610B"/>
    <w:multiLevelType w:val="hybridMultilevel"/>
    <w:tmpl w:val="7BBEC6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89661A"/>
    <w:multiLevelType w:val="hybridMultilevel"/>
    <w:tmpl w:val="5BA09A32"/>
    <w:lvl w:ilvl="0" w:tplc="E9E6CD8A">
      <w:start w:val="1"/>
      <w:numFmt w:val="decimal"/>
      <w:lvlText w:val="%1."/>
      <w:lvlJc w:val="left"/>
      <w:pPr>
        <w:tabs>
          <w:tab w:val="num" w:pos="454"/>
        </w:tabs>
        <w:ind w:left="454" w:hanging="454"/>
      </w:pPr>
      <w:rPr>
        <w:rFonts w:ascii="Tahoma" w:hAnsi="Tahoma" w:cs="Tahoma" w:hint="default"/>
        <w:b w:val="0"/>
        <w:i w:val="0"/>
        <w:outline w:val="0"/>
        <w:shadow/>
        <w:emboss w:val="0"/>
        <w:imprint w:val="0"/>
        <w:color w:val="auto"/>
        <w:sz w:val="22"/>
        <w:szCs w:val="22"/>
        <w:u w:color="FFFFFF"/>
        <w:effect w:val="none"/>
      </w:rPr>
    </w:lvl>
    <w:lvl w:ilvl="1" w:tplc="5BA68C46">
      <w:start w:val="1"/>
      <w:numFmt w:val="lowerRoman"/>
      <w:lvlText w:val="(%2)"/>
      <w:lvlJc w:val="left"/>
      <w:pPr>
        <w:tabs>
          <w:tab w:val="num" w:pos="1800"/>
        </w:tabs>
        <w:ind w:left="1800" w:hanging="720"/>
      </w:pPr>
      <w:rPr>
        <w:b/>
      </w:rPr>
    </w:lvl>
    <w:lvl w:ilvl="2" w:tplc="91224666">
      <w:start w:val="1"/>
      <w:numFmt w:val="lowerRoman"/>
      <w:lvlText w:val="%3."/>
      <w:lvlJc w:val="left"/>
      <w:pPr>
        <w:tabs>
          <w:tab w:val="num" w:pos="1800"/>
        </w:tabs>
        <w:ind w:left="1800" w:hanging="720"/>
      </w:pPr>
      <w:rPr>
        <w:b/>
      </w:rPr>
    </w:lvl>
    <w:lvl w:ilvl="3" w:tplc="E034C060">
      <w:start w:val="1"/>
      <w:numFmt w:val="lowerLetter"/>
      <w:lvlText w:val="%4."/>
      <w:lvlJc w:val="left"/>
      <w:pPr>
        <w:tabs>
          <w:tab w:val="num" w:pos="2880"/>
        </w:tabs>
        <w:ind w:left="28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5E1931F5"/>
    <w:multiLevelType w:val="hybridMultilevel"/>
    <w:tmpl w:val="43D6DDF6"/>
    <w:lvl w:ilvl="0" w:tplc="A3EE5F9A">
      <w:start w:val="1"/>
      <w:numFmt w:val="decimal"/>
      <w:lvlText w:val="%1."/>
      <w:lvlJc w:val="left"/>
      <w:pPr>
        <w:tabs>
          <w:tab w:val="num" w:pos="360"/>
        </w:tabs>
        <w:ind w:left="360" w:hanging="360"/>
      </w:pPr>
      <w:rPr>
        <w:rFonts w:ascii="Tahoma" w:hAnsi="Tahoma" w:cs="Tahoma" w:hint="default"/>
        <w:b w:val="0"/>
        <w:sz w:val="22"/>
        <w:szCs w:val="22"/>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3"/>
  </w:num>
  <w:num w:numId="2">
    <w:abstractNumId w:val="7"/>
  </w:num>
  <w:num w:numId="3">
    <w:abstractNumId w:val="0"/>
  </w:num>
  <w:num w:numId="4">
    <w:abstractNumId w:val="5"/>
  </w:num>
  <w:num w:numId="5">
    <w:abstractNumId w:val="6"/>
  </w:num>
  <w:num w:numId="6">
    <w:abstractNumId w:val="2"/>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8619C"/>
    <w:rsid w:val="0002666B"/>
    <w:rsid w:val="0008619C"/>
    <w:rsid w:val="00151558"/>
    <w:rsid w:val="00192441"/>
    <w:rsid w:val="005F0E2E"/>
    <w:rsid w:val="00656EB8"/>
    <w:rsid w:val="007C70BD"/>
    <w:rsid w:val="009042C5"/>
    <w:rsid w:val="0097196A"/>
    <w:rsid w:val="00AF7C40"/>
    <w:rsid w:val="00E618A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19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8619C"/>
    <w:pPr>
      <w:spacing w:after="120"/>
    </w:pPr>
    <w:rPr>
      <w:sz w:val="16"/>
      <w:szCs w:val="16"/>
      <w:lang w:val="es-PE"/>
    </w:rPr>
  </w:style>
  <w:style w:type="character" w:customStyle="1" w:styleId="Textoindependiente3Car">
    <w:name w:val="Texto independiente 3 Car"/>
    <w:basedOn w:val="Fuentedeprrafopredeter"/>
    <w:link w:val="Textoindependiente3"/>
    <w:rsid w:val="0008619C"/>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8619C"/>
    <w:pPr>
      <w:jc w:val="both"/>
    </w:pPr>
    <w:rPr>
      <w:rFonts w:ascii="Tahoma" w:hAnsi="Tahoma"/>
      <w:sz w:val="22"/>
      <w:szCs w:val="20"/>
    </w:rPr>
  </w:style>
  <w:style w:type="paragraph" w:styleId="Prrafodelista">
    <w:name w:val="List Paragraph"/>
    <w:basedOn w:val="Normal"/>
    <w:uiPriority w:val="34"/>
    <w:qFormat/>
    <w:rsid w:val="0008619C"/>
    <w:pPr>
      <w:widowControl w:val="0"/>
      <w:suppressAutoHyphens/>
      <w:ind w:left="708"/>
    </w:pPr>
    <w:rPr>
      <w:szCs w:val="20"/>
      <w:lang w:val="es-ES_tradnl"/>
    </w:rPr>
  </w:style>
  <w:style w:type="paragraph" w:styleId="Piedepgina">
    <w:name w:val="footer"/>
    <w:basedOn w:val="Normal"/>
    <w:link w:val="PiedepginaCar"/>
    <w:uiPriority w:val="99"/>
    <w:unhideWhenUsed/>
    <w:rsid w:val="0008619C"/>
    <w:pPr>
      <w:tabs>
        <w:tab w:val="center" w:pos="4252"/>
        <w:tab w:val="right" w:pos="8504"/>
      </w:tabs>
    </w:pPr>
  </w:style>
  <w:style w:type="character" w:customStyle="1" w:styleId="PiedepginaCar">
    <w:name w:val="Pie de página Car"/>
    <w:basedOn w:val="Fuentedeprrafopredeter"/>
    <w:link w:val="Piedepgina"/>
    <w:uiPriority w:val="99"/>
    <w:rsid w:val="0008619C"/>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861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AF7C40"/>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F7C40"/>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9519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1304</Words>
  <Characters>7177</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2011-04-29T14:33:00Z</cp:lastPrinted>
  <dcterms:created xsi:type="dcterms:W3CDTF">2011-04-29T14:28:00Z</dcterms:created>
  <dcterms:modified xsi:type="dcterms:W3CDTF">2011-05-09T14:30:00Z</dcterms:modified>
</cp:coreProperties>
</file>